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873" w:rsidRPr="00704BC4" w:rsidRDefault="00492873" w:rsidP="00492873">
      <w:pPr>
        <w:pStyle w:val="Heading3"/>
        <w:rPr>
          <w:rStyle w:val="Heading3Char"/>
          <w:b/>
        </w:rPr>
      </w:pPr>
      <w:bookmarkStart w:id="0" w:name="_Toc415730992"/>
      <w:r w:rsidRPr="00704BC4">
        <w:rPr>
          <w:rStyle w:val="Heading3Char"/>
          <w:b/>
        </w:rPr>
        <w:t>Other Foliar Diseases</w:t>
      </w:r>
      <w:bookmarkEnd w:id="0"/>
    </w:p>
    <w:p w:rsidR="00BC1E2A" w:rsidRDefault="00492873" w:rsidP="00473042">
      <w:pPr>
        <w:pStyle w:val="Default"/>
      </w:pPr>
      <w:r w:rsidRPr="00CB3F1F">
        <w:rPr>
          <w:rFonts w:asciiTheme="minorHAnsi" w:hAnsiTheme="minorHAnsi"/>
          <w:i/>
        </w:rPr>
        <w:t xml:space="preserve">Low priority </w:t>
      </w:r>
    </w:p>
    <w:tbl>
      <w:tblPr>
        <w:tblStyle w:val="TableGrid"/>
        <w:tblW w:w="0" w:type="auto"/>
        <w:tblInd w:w="360" w:type="dxa"/>
        <w:tblLook w:val="04A0" w:firstRow="1" w:lastRow="0" w:firstColumn="1" w:lastColumn="0" w:noHBand="0" w:noVBand="1"/>
      </w:tblPr>
      <w:tblGrid>
        <w:gridCol w:w="2725"/>
        <w:gridCol w:w="6491"/>
      </w:tblGrid>
      <w:tr w:rsidR="00BC1E2A" w:rsidTr="00660C53">
        <w:tc>
          <w:tcPr>
            <w:tcW w:w="2725" w:type="dxa"/>
          </w:tcPr>
          <w:p w:rsidR="00BC1E2A" w:rsidRPr="00BC1E2A" w:rsidRDefault="00BC1E2A" w:rsidP="00BC1E2A">
            <w:pPr>
              <w:pStyle w:val="Default"/>
              <w:contextualSpacing/>
              <w:rPr>
                <w:b/>
              </w:rPr>
            </w:pPr>
            <w:r w:rsidRPr="00BC1E2A">
              <w:rPr>
                <w:b/>
              </w:rPr>
              <w:t>Species Affected</w:t>
            </w:r>
          </w:p>
        </w:tc>
        <w:tc>
          <w:tcPr>
            <w:tcW w:w="6491" w:type="dxa"/>
          </w:tcPr>
          <w:p w:rsidR="00BC1E2A" w:rsidRPr="00BC1E2A" w:rsidRDefault="00BC1E2A" w:rsidP="00BC1E2A">
            <w:pPr>
              <w:pStyle w:val="Default"/>
              <w:contextualSpacing/>
              <w:rPr>
                <w:b/>
              </w:rPr>
            </w:pPr>
            <w:r w:rsidRPr="00BC1E2A">
              <w:rPr>
                <w:b/>
              </w:rPr>
              <w:t>Foliar Disease</w:t>
            </w:r>
          </w:p>
        </w:tc>
      </w:tr>
      <w:tr w:rsidR="00BC1E2A" w:rsidTr="00660C53">
        <w:tc>
          <w:tcPr>
            <w:tcW w:w="2725" w:type="dxa"/>
          </w:tcPr>
          <w:p w:rsidR="00BC1E2A" w:rsidRDefault="00BC1E2A" w:rsidP="00660C53">
            <w:pPr>
              <w:pStyle w:val="Default"/>
              <w:contextualSpacing/>
            </w:pPr>
            <w:r>
              <w:t>Pine</w:t>
            </w:r>
            <w:r w:rsidR="00660C53">
              <w:t xml:space="preserve"> (</w:t>
            </w:r>
            <w:proofErr w:type="spellStart"/>
            <w:r w:rsidR="00660C53">
              <w:t>Pli</w:t>
            </w:r>
            <w:proofErr w:type="spellEnd"/>
            <w:r w:rsidR="00660C53">
              <w:t xml:space="preserve">, </w:t>
            </w:r>
            <w:proofErr w:type="spellStart"/>
            <w:r w:rsidR="00660C53">
              <w:t>Py</w:t>
            </w:r>
            <w:proofErr w:type="spellEnd"/>
            <w:r w:rsidR="003465A8">
              <w:t xml:space="preserve">, </w:t>
            </w:r>
            <w:r w:rsidR="00660C53">
              <w:t>Scots Pine)</w:t>
            </w:r>
          </w:p>
        </w:tc>
        <w:tc>
          <w:tcPr>
            <w:tcW w:w="6491" w:type="dxa"/>
          </w:tcPr>
          <w:p w:rsidR="00BC1E2A" w:rsidRDefault="00BC1E2A" w:rsidP="00BC1E2A">
            <w:pPr>
              <w:pStyle w:val="Default"/>
              <w:ind w:left="360"/>
              <w:contextualSpacing/>
              <w:jc w:val="both"/>
            </w:pPr>
            <w:r w:rsidRPr="00917D20">
              <w:t>Pine needle cast (</w:t>
            </w:r>
            <w:proofErr w:type="spellStart"/>
            <w:r w:rsidRPr="00917D20">
              <w:rPr>
                <w:i/>
                <w:iCs/>
              </w:rPr>
              <w:t>Lophodermella</w:t>
            </w:r>
            <w:proofErr w:type="spellEnd"/>
            <w:r w:rsidRPr="00917D20">
              <w:rPr>
                <w:i/>
                <w:iCs/>
              </w:rPr>
              <w:t xml:space="preserve"> </w:t>
            </w:r>
            <w:proofErr w:type="spellStart"/>
            <w:r w:rsidRPr="00917D20">
              <w:rPr>
                <w:i/>
                <w:iCs/>
              </w:rPr>
              <w:t>concolor</w:t>
            </w:r>
            <w:proofErr w:type="spellEnd"/>
            <w:r w:rsidRPr="00917D20">
              <w:rPr>
                <w:i/>
                <w:iCs/>
              </w:rPr>
              <w:t xml:space="preserve">) </w:t>
            </w:r>
            <w:r>
              <w:rPr>
                <w:i/>
                <w:iCs/>
              </w:rPr>
              <w:t>DFL</w:t>
            </w:r>
          </w:p>
        </w:tc>
      </w:tr>
      <w:tr w:rsidR="00BC1E2A" w:rsidTr="00660C53">
        <w:tc>
          <w:tcPr>
            <w:tcW w:w="2725" w:type="dxa"/>
          </w:tcPr>
          <w:p w:rsidR="00BC1E2A" w:rsidRDefault="00BC1E2A" w:rsidP="00BC1E2A">
            <w:pPr>
              <w:pStyle w:val="Default"/>
              <w:contextualSpacing/>
            </w:pPr>
            <w:r>
              <w:t>Pine</w:t>
            </w:r>
            <w:r w:rsidR="003465A8">
              <w:t xml:space="preserve"> (</w:t>
            </w:r>
            <w:proofErr w:type="spellStart"/>
            <w:r w:rsidR="00660C53">
              <w:t>Pli</w:t>
            </w:r>
            <w:proofErr w:type="spellEnd"/>
            <w:r w:rsidR="00660C53">
              <w:t xml:space="preserve">, </w:t>
            </w:r>
            <w:proofErr w:type="spellStart"/>
            <w:r w:rsidR="00660C53">
              <w:t>Py</w:t>
            </w:r>
            <w:proofErr w:type="spellEnd"/>
            <w:r w:rsidR="003465A8">
              <w:t>)</w:t>
            </w:r>
          </w:p>
        </w:tc>
        <w:tc>
          <w:tcPr>
            <w:tcW w:w="6491" w:type="dxa"/>
          </w:tcPr>
          <w:p w:rsidR="00BC1E2A" w:rsidRDefault="00BC1E2A" w:rsidP="00BC1E2A">
            <w:pPr>
              <w:pStyle w:val="Default"/>
              <w:ind w:left="360"/>
              <w:contextualSpacing/>
              <w:jc w:val="both"/>
            </w:pPr>
            <w:proofErr w:type="spellStart"/>
            <w:r w:rsidRPr="00704BC4">
              <w:rPr>
                <w:iCs/>
              </w:rPr>
              <w:t>Elytroderma</w:t>
            </w:r>
            <w:proofErr w:type="spellEnd"/>
            <w:r w:rsidRPr="00704BC4">
              <w:rPr>
                <w:iCs/>
              </w:rPr>
              <w:t xml:space="preserve"> Needle Cast</w:t>
            </w:r>
            <w:r>
              <w:rPr>
                <w:i/>
                <w:iCs/>
              </w:rPr>
              <w:t xml:space="preserve"> (</w:t>
            </w:r>
            <w:proofErr w:type="spellStart"/>
            <w:r>
              <w:rPr>
                <w:i/>
                <w:iCs/>
              </w:rPr>
              <w:t>Elytroderma</w:t>
            </w:r>
            <w:proofErr w:type="spellEnd"/>
            <w:r>
              <w:rPr>
                <w:i/>
                <w:iCs/>
              </w:rPr>
              <w:t xml:space="preserve"> </w:t>
            </w:r>
            <w:proofErr w:type="spellStart"/>
            <w:r>
              <w:rPr>
                <w:i/>
                <w:iCs/>
              </w:rPr>
              <w:t>deformans</w:t>
            </w:r>
            <w:proofErr w:type="spellEnd"/>
            <w:r>
              <w:rPr>
                <w:i/>
                <w:iCs/>
              </w:rPr>
              <w:t>) DFE</w:t>
            </w:r>
          </w:p>
        </w:tc>
      </w:tr>
      <w:tr w:rsidR="00BC1E2A" w:rsidTr="00660C53">
        <w:tc>
          <w:tcPr>
            <w:tcW w:w="2725" w:type="dxa"/>
          </w:tcPr>
          <w:p w:rsidR="00BC1E2A" w:rsidRDefault="00BC1E2A" w:rsidP="00BC1E2A">
            <w:pPr>
              <w:pStyle w:val="Default"/>
              <w:contextualSpacing/>
            </w:pPr>
            <w:r>
              <w:t>Spruce</w:t>
            </w:r>
          </w:p>
        </w:tc>
        <w:tc>
          <w:tcPr>
            <w:tcW w:w="6491" w:type="dxa"/>
          </w:tcPr>
          <w:p w:rsidR="00BC1E2A" w:rsidRDefault="00BC1E2A" w:rsidP="00BC1E2A">
            <w:pPr>
              <w:pStyle w:val="Default"/>
              <w:ind w:left="360"/>
              <w:contextualSpacing/>
              <w:jc w:val="both"/>
            </w:pPr>
            <w:r w:rsidRPr="00917D20">
              <w:t>Spruce Needle Blight</w:t>
            </w:r>
            <w:r w:rsidRPr="00917D20">
              <w:rPr>
                <w:i/>
              </w:rPr>
              <w:t xml:space="preserve"> (</w:t>
            </w:r>
            <w:proofErr w:type="spellStart"/>
            <w:r w:rsidRPr="00917D20">
              <w:rPr>
                <w:i/>
              </w:rPr>
              <w:t>Rhizosphaera</w:t>
            </w:r>
            <w:proofErr w:type="spellEnd"/>
            <w:r w:rsidRPr="00917D20">
              <w:rPr>
                <w:i/>
              </w:rPr>
              <w:t xml:space="preserve"> </w:t>
            </w:r>
            <w:proofErr w:type="spellStart"/>
            <w:r w:rsidRPr="00917D20">
              <w:rPr>
                <w:i/>
              </w:rPr>
              <w:t>kalkhoffii</w:t>
            </w:r>
            <w:proofErr w:type="spellEnd"/>
            <w:r w:rsidRPr="00917D20">
              <w:rPr>
                <w:i/>
              </w:rPr>
              <w:t>)</w:t>
            </w:r>
          </w:p>
        </w:tc>
      </w:tr>
      <w:tr w:rsidR="00BC1E2A" w:rsidTr="00660C53">
        <w:tc>
          <w:tcPr>
            <w:tcW w:w="2725" w:type="dxa"/>
          </w:tcPr>
          <w:p w:rsidR="00BC1E2A" w:rsidRDefault="00BC1E2A" w:rsidP="00BC1E2A">
            <w:pPr>
              <w:pStyle w:val="Default"/>
              <w:contextualSpacing/>
            </w:pPr>
            <w:r>
              <w:t>Spruce</w:t>
            </w:r>
          </w:p>
        </w:tc>
        <w:tc>
          <w:tcPr>
            <w:tcW w:w="6491" w:type="dxa"/>
          </w:tcPr>
          <w:p w:rsidR="00BC1E2A" w:rsidRDefault="00BC1E2A" w:rsidP="00BC1E2A">
            <w:pPr>
              <w:pStyle w:val="Default"/>
              <w:ind w:left="360"/>
              <w:contextualSpacing/>
              <w:jc w:val="both"/>
            </w:pPr>
            <w:r w:rsidRPr="00917D20">
              <w:t>Spruce Needle Cast</w:t>
            </w:r>
            <w:r w:rsidRPr="00917D20">
              <w:rPr>
                <w:i/>
              </w:rPr>
              <w:t xml:space="preserve"> (</w:t>
            </w:r>
            <w:proofErr w:type="spellStart"/>
            <w:r w:rsidRPr="00917D20">
              <w:rPr>
                <w:i/>
              </w:rPr>
              <w:t>Lirula</w:t>
            </w:r>
            <w:proofErr w:type="spellEnd"/>
            <w:r w:rsidRPr="00917D20">
              <w:rPr>
                <w:i/>
              </w:rPr>
              <w:t xml:space="preserve"> </w:t>
            </w:r>
            <w:proofErr w:type="spellStart"/>
            <w:r w:rsidRPr="00917D20">
              <w:rPr>
                <w:i/>
              </w:rPr>
              <w:t>macrospora</w:t>
            </w:r>
            <w:proofErr w:type="spellEnd"/>
            <w:r w:rsidRPr="00917D20">
              <w:rPr>
                <w:i/>
              </w:rPr>
              <w:t>)</w:t>
            </w:r>
            <w:r>
              <w:rPr>
                <w:i/>
              </w:rPr>
              <w:t xml:space="preserve"> DFD</w:t>
            </w:r>
          </w:p>
        </w:tc>
      </w:tr>
      <w:tr w:rsidR="00BC1E2A" w:rsidTr="00660C53">
        <w:tc>
          <w:tcPr>
            <w:tcW w:w="2725" w:type="dxa"/>
          </w:tcPr>
          <w:p w:rsidR="00BC1E2A" w:rsidRDefault="00196561" w:rsidP="00BC1E2A">
            <w:pPr>
              <w:pStyle w:val="Default"/>
              <w:contextualSpacing/>
            </w:pPr>
            <w:r>
              <w:t>Sub-alpine fir</w:t>
            </w:r>
            <w:r w:rsidR="0077663A">
              <w:t xml:space="preserve"> (</w:t>
            </w:r>
            <w:proofErr w:type="spellStart"/>
            <w:r w:rsidR="0077663A">
              <w:t>Bl</w:t>
            </w:r>
            <w:proofErr w:type="spellEnd"/>
            <w:r w:rsidR="0077663A">
              <w:t>)</w:t>
            </w:r>
          </w:p>
        </w:tc>
        <w:tc>
          <w:tcPr>
            <w:tcW w:w="6491" w:type="dxa"/>
          </w:tcPr>
          <w:p w:rsidR="00BC1E2A" w:rsidRDefault="00BC1E2A" w:rsidP="00BC1E2A">
            <w:pPr>
              <w:pStyle w:val="Default"/>
              <w:ind w:left="360"/>
              <w:contextualSpacing/>
              <w:jc w:val="both"/>
            </w:pPr>
            <w:proofErr w:type="spellStart"/>
            <w:r w:rsidRPr="00917D20">
              <w:rPr>
                <w:rFonts w:asciiTheme="minorHAnsi" w:hAnsiTheme="minorHAnsi" w:cs="Arial"/>
              </w:rPr>
              <w:t>Delphinella</w:t>
            </w:r>
            <w:proofErr w:type="spellEnd"/>
            <w:r w:rsidRPr="00917D20">
              <w:rPr>
                <w:rFonts w:asciiTheme="minorHAnsi" w:hAnsiTheme="minorHAnsi" w:cs="Arial"/>
              </w:rPr>
              <w:t xml:space="preserve"> needle cast</w:t>
            </w:r>
            <w:r w:rsidRPr="00917D20">
              <w:rPr>
                <w:rFonts w:asciiTheme="minorHAnsi" w:hAnsiTheme="minorHAnsi"/>
                <w:i/>
              </w:rPr>
              <w:t xml:space="preserve"> (</w:t>
            </w:r>
            <w:proofErr w:type="spellStart"/>
            <w:r w:rsidRPr="00917D20">
              <w:rPr>
                <w:rFonts w:asciiTheme="minorHAnsi" w:hAnsiTheme="minorHAnsi"/>
                <w:i/>
              </w:rPr>
              <w:t>Delfinella</w:t>
            </w:r>
            <w:proofErr w:type="spellEnd"/>
            <w:r w:rsidRPr="00917D20">
              <w:rPr>
                <w:rFonts w:asciiTheme="minorHAnsi" w:hAnsiTheme="minorHAnsi"/>
                <w:i/>
              </w:rPr>
              <w:t xml:space="preserve"> </w:t>
            </w:r>
            <w:proofErr w:type="spellStart"/>
            <w:r w:rsidRPr="00917D20">
              <w:rPr>
                <w:rFonts w:asciiTheme="minorHAnsi" w:hAnsiTheme="minorHAnsi"/>
                <w:i/>
              </w:rPr>
              <w:t>abietis</w:t>
            </w:r>
            <w:proofErr w:type="spellEnd"/>
            <w:r w:rsidRPr="00917D20">
              <w:rPr>
                <w:rFonts w:asciiTheme="minorHAnsi" w:hAnsiTheme="minorHAnsi"/>
                <w:i/>
              </w:rPr>
              <w:t>)</w:t>
            </w:r>
            <w:r>
              <w:rPr>
                <w:rFonts w:asciiTheme="minorHAnsi" w:hAnsiTheme="minorHAnsi"/>
                <w:i/>
              </w:rPr>
              <w:t xml:space="preserve"> DFB</w:t>
            </w:r>
          </w:p>
        </w:tc>
      </w:tr>
      <w:tr w:rsidR="00BC1E2A" w:rsidTr="00660C53">
        <w:tc>
          <w:tcPr>
            <w:tcW w:w="2725" w:type="dxa"/>
          </w:tcPr>
          <w:p w:rsidR="00BC1E2A" w:rsidRDefault="00D76195" w:rsidP="00BC1E2A">
            <w:pPr>
              <w:pStyle w:val="Default"/>
              <w:contextualSpacing/>
            </w:pPr>
            <w:proofErr w:type="spellStart"/>
            <w:r>
              <w:t>Bl</w:t>
            </w:r>
            <w:proofErr w:type="spellEnd"/>
            <w:r>
              <w:t xml:space="preserve">, Ba, </w:t>
            </w:r>
            <w:r w:rsidR="0077663A">
              <w:t>White fir</w:t>
            </w:r>
          </w:p>
        </w:tc>
        <w:tc>
          <w:tcPr>
            <w:tcW w:w="6491" w:type="dxa"/>
          </w:tcPr>
          <w:p w:rsidR="00BC1E2A" w:rsidRDefault="00BC1E2A" w:rsidP="00BC1E2A">
            <w:pPr>
              <w:pStyle w:val="Default"/>
              <w:ind w:left="360"/>
              <w:contextualSpacing/>
              <w:jc w:val="both"/>
            </w:pPr>
            <w:r w:rsidRPr="00917D20">
              <w:t>Fir-fireweed rust (</w:t>
            </w:r>
            <w:proofErr w:type="spellStart"/>
            <w:r w:rsidRPr="00917D20">
              <w:rPr>
                <w:i/>
              </w:rPr>
              <w:t>Pucciniastrum</w:t>
            </w:r>
            <w:proofErr w:type="spellEnd"/>
            <w:r w:rsidRPr="00917D20">
              <w:rPr>
                <w:i/>
              </w:rPr>
              <w:t xml:space="preserve"> </w:t>
            </w:r>
            <w:proofErr w:type="spellStart"/>
            <w:r w:rsidRPr="00917D20">
              <w:rPr>
                <w:i/>
              </w:rPr>
              <w:t>epilobii</w:t>
            </w:r>
            <w:proofErr w:type="spellEnd"/>
            <w:r w:rsidRPr="00917D20">
              <w:t>)</w:t>
            </w:r>
            <w:r>
              <w:t xml:space="preserve"> DFP</w:t>
            </w:r>
          </w:p>
        </w:tc>
      </w:tr>
      <w:tr w:rsidR="00BC1E2A" w:rsidTr="00660C53">
        <w:tc>
          <w:tcPr>
            <w:tcW w:w="2725" w:type="dxa"/>
          </w:tcPr>
          <w:p w:rsidR="00BC1E2A" w:rsidRDefault="00BC1E2A" w:rsidP="00BC1E2A">
            <w:pPr>
              <w:pStyle w:val="Default"/>
              <w:contextualSpacing/>
            </w:pPr>
            <w:r>
              <w:t>Red Cedar</w:t>
            </w:r>
          </w:p>
        </w:tc>
        <w:tc>
          <w:tcPr>
            <w:tcW w:w="6491" w:type="dxa"/>
          </w:tcPr>
          <w:p w:rsidR="00BC1E2A" w:rsidRDefault="00BC1E2A" w:rsidP="00BC1E2A">
            <w:pPr>
              <w:pStyle w:val="Default"/>
              <w:ind w:left="360"/>
              <w:contextualSpacing/>
              <w:jc w:val="both"/>
            </w:pPr>
            <w:r w:rsidRPr="00917D20">
              <w:t>Cedar Leaf Blight</w:t>
            </w:r>
            <w:r w:rsidRPr="00917D20">
              <w:rPr>
                <w:i/>
              </w:rPr>
              <w:t xml:space="preserve"> (</w:t>
            </w:r>
            <w:proofErr w:type="spellStart"/>
            <w:r w:rsidRPr="00917D20">
              <w:rPr>
                <w:i/>
              </w:rPr>
              <w:t>Didymascella</w:t>
            </w:r>
            <w:proofErr w:type="spellEnd"/>
            <w:r w:rsidRPr="00917D20">
              <w:rPr>
                <w:i/>
              </w:rPr>
              <w:t xml:space="preserve"> </w:t>
            </w:r>
            <w:proofErr w:type="spellStart"/>
            <w:r w:rsidRPr="00917D20">
              <w:rPr>
                <w:i/>
              </w:rPr>
              <w:t>thujina</w:t>
            </w:r>
            <w:proofErr w:type="spellEnd"/>
            <w:r w:rsidRPr="00917D20">
              <w:rPr>
                <w:i/>
              </w:rPr>
              <w:t>)</w:t>
            </w:r>
            <w:r>
              <w:rPr>
                <w:i/>
              </w:rPr>
              <w:t xml:space="preserve"> DFU</w:t>
            </w:r>
          </w:p>
        </w:tc>
      </w:tr>
    </w:tbl>
    <w:p w:rsidR="00BC1E2A" w:rsidRDefault="00BC1E2A" w:rsidP="00BC1E2A">
      <w:pPr>
        <w:pStyle w:val="Default"/>
        <w:ind w:left="360"/>
        <w:contextualSpacing/>
      </w:pPr>
    </w:p>
    <w:p w:rsidR="00704BC4" w:rsidRDefault="00704BC4" w:rsidP="00492873">
      <w:pPr>
        <w:pStyle w:val="Default"/>
        <w:contextualSpacing/>
        <w:rPr>
          <w:b/>
        </w:rPr>
      </w:pPr>
      <w:r w:rsidRPr="00704BC4">
        <w:rPr>
          <w:b/>
        </w:rPr>
        <w:t>Description</w:t>
      </w:r>
    </w:p>
    <w:p w:rsidR="00670EAE" w:rsidRDefault="00670EAE" w:rsidP="00492873">
      <w:pPr>
        <w:pStyle w:val="Default"/>
        <w:contextualSpacing/>
        <w:rPr>
          <w:rFonts w:ascii="Arial" w:hAnsi="Arial" w:cs="Arial"/>
          <w:sz w:val="20"/>
          <w:szCs w:val="20"/>
        </w:rPr>
      </w:pPr>
    </w:p>
    <w:p w:rsidR="00670EAE" w:rsidRPr="00670EAE" w:rsidRDefault="00670EAE" w:rsidP="00492873">
      <w:pPr>
        <w:pStyle w:val="Default"/>
        <w:contextualSpacing/>
        <w:rPr>
          <w:rFonts w:ascii="Arial" w:hAnsi="Arial" w:cs="Arial"/>
          <w:b/>
          <w:sz w:val="20"/>
          <w:szCs w:val="20"/>
        </w:rPr>
      </w:pPr>
      <w:r w:rsidRPr="00670EAE">
        <w:rPr>
          <w:rFonts w:ascii="Arial" w:hAnsi="Arial" w:cs="Arial"/>
          <w:b/>
          <w:sz w:val="20"/>
          <w:szCs w:val="20"/>
        </w:rPr>
        <w:t>Affecting P</w:t>
      </w:r>
      <w:r w:rsidR="00473042">
        <w:rPr>
          <w:rFonts w:ascii="Arial" w:hAnsi="Arial" w:cs="Arial"/>
          <w:b/>
          <w:sz w:val="20"/>
          <w:szCs w:val="20"/>
        </w:rPr>
        <w:t>ine</w:t>
      </w:r>
    </w:p>
    <w:p w:rsidR="00CB3F1F" w:rsidRPr="00196561" w:rsidRDefault="00196561" w:rsidP="00D76195">
      <w:pPr>
        <w:pStyle w:val="Default"/>
        <w:spacing w:after="0" w:line="240" w:lineRule="auto"/>
        <w:contextualSpacing/>
        <w:rPr>
          <w:rFonts w:asciiTheme="minorHAnsi" w:hAnsiTheme="minorHAnsi" w:cstheme="minorHAnsi"/>
        </w:rPr>
      </w:pPr>
      <w:r w:rsidRPr="00D76195">
        <w:rPr>
          <w:rFonts w:asciiTheme="minorHAnsi" w:hAnsiTheme="minorHAnsi" w:cstheme="minorHAnsi"/>
          <w:noProof/>
          <w:lang w:val="en-CA" w:eastAsia="en-CA" w:bidi="ar-SA"/>
        </w:rPr>
        <w:drawing>
          <wp:anchor distT="0" distB="0" distL="114300" distR="114300" simplePos="0" relativeHeight="251658240" behindDoc="0" locked="0" layoutInCell="1" allowOverlap="1" wp14:anchorId="16667EDB" wp14:editId="751D47F6">
            <wp:simplePos x="0" y="0"/>
            <wp:positionH relativeFrom="column">
              <wp:posOffset>0</wp:posOffset>
            </wp:positionH>
            <wp:positionV relativeFrom="paragraph">
              <wp:posOffset>1905</wp:posOffset>
            </wp:positionV>
            <wp:extent cx="1001395" cy="1524635"/>
            <wp:effectExtent l="0" t="0" r="8255" b="0"/>
            <wp:wrapSquare wrapText="bothSides"/>
            <wp:docPr id="4" name="Picture 4" descr="https://www.for.gov.bc.ca/hfp/publications/00198/201%20to%20250/fig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for.gov.bc.ca/hfp/publications/00198/201%20to%20250/fig20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1395" cy="152463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3465A8" w:rsidRPr="00196561">
        <w:rPr>
          <w:rFonts w:asciiTheme="minorHAnsi" w:hAnsiTheme="minorHAnsi" w:cstheme="minorHAnsi"/>
        </w:rPr>
        <w:t>Lodgepole</w:t>
      </w:r>
      <w:proofErr w:type="spellEnd"/>
      <w:r w:rsidR="003465A8" w:rsidRPr="00196561">
        <w:rPr>
          <w:rFonts w:asciiTheme="minorHAnsi" w:hAnsiTheme="minorHAnsi" w:cstheme="minorHAnsi"/>
        </w:rPr>
        <w:t xml:space="preserve"> pine is the primary host of </w:t>
      </w:r>
      <w:proofErr w:type="spellStart"/>
      <w:r w:rsidR="003465A8" w:rsidRPr="00473042">
        <w:rPr>
          <w:rFonts w:asciiTheme="minorHAnsi" w:hAnsiTheme="minorHAnsi" w:cstheme="minorHAnsi"/>
          <w:b/>
          <w:i/>
        </w:rPr>
        <w:t>Lophodermella</w:t>
      </w:r>
      <w:proofErr w:type="spellEnd"/>
      <w:r w:rsidR="00CB3F1F" w:rsidRPr="00196561">
        <w:rPr>
          <w:rFonts w:asciiTheme="minorHAnsi" w:hAnsiTheme="minorHAnsi" w:cstheme="minorHAnsi"/>
        </w:rPr>
        <w:t xml:space="preserve">. </w:t>
      </w:r>
      <w:r w:rsidR="003465A8" w:rsidRPr="00196561">
        <w:rPr>
          <w:rFonts w:asciiTheme="minorHAnsi" w:hAnsiTheme="minorHAnsi" w:cstheme="minorHAnsi"/>
        </w:rPr>
        <w:t xml:space="preserve"> </w:t>
      </w:r>
      <w:r w:rsidR="00CB3F1F" w:rsidRPr="00196561">
        <w:rPr>
          <w:rFonts w:asciiTheme="minorHAnsi" w:hAnsiTheme="minorHAnsi" w:cstheme="minorHAnsi"/>
        </w:rPr>
        <w:t xml:space="preserve">Trees of all ages are infected, but the most damage is to young stands.  Needles infected the previous year turn reddish-brown in </w:t>
      </w:r>
      <w:r w:rsidR="003465A8" w:rsidRPr="00196561">
        <w:rPr>
          <w:rFonts w:asciiTheme="minorHAnsi" w:hAnsiTheme="minorHAnsi" w:cstheme="minorHAnsi"/>
        </w:rPr>
        <w:t xml:space="preserve">the spring, and </w:t>
      </w:r>
      <w:proofErr w:type="spellStart"/>
      <w:r w:rsidR="00CB3F1F" w:rsidRPr="00196561">
        <w:rPr>
          <w:rFonts w:asciiTheme="minorHAnsi" w:hAnsiTheme="minorHAnsi" w:cstheme="minorHAnsi"/>
        </w:rPr>
        <w:t>straw-coloured</w:t>
      </w:r>
      <w:proofErr w:type="spellEnd"/>
      <w:r w:rsidR="003465A8" w:rsidRPr="00196561">
        <w:rPr>
          <w:rFonts w:asciiTheme="minorHAnsi" w:hAnsiTheme="minorHAnsi" w:cstheme="minorHAnsi"/>
        </w:rPr>
        <w:t xml:space="preserve"> in the summer</w:t>
      </w:r>
      <w:r w:rsidR="00CB3F1F" w:rsidRPr="00196561">
        <w:rPr>
          <w:rFonts w:asciiTheme="minorHAnsi" w:hAnsiTheme="minorHAnsi" w:cstheme="minorHAnsi"/>
        </w:rPr>
        <w:t xml:space="preserve">. </w:t>
      </w:r>
      <w:r w:rsidR="003465A8" w:rsidRPr="00196561">
        <w:rPr>
          <w:rFonts w:asciiTheme="minorHAnsi" w:hAnsiTheme="minorHAnsi" w:cstheme="minorHAnsi"/>
        </w:rPr>
        <w:t xml:space="preserve"> </w:t>
      </w:r>
      <w:r w:rsidR="00CB3F1F" w:rsidRPr="00196561">
        <w:rPr>
          <w:rFonts w:asciiTheme="minorHAnsi" w:hAnsiTheme="minorHAnsi" w:cstheme="minorHAnsi"/>
        </w:rPr>
        <w:t xml:space="preserve">The diseased needles on previous years' growth are shed as the summer progresses.  This disease can cause severe defoliation. </w:t>
      </w:r>
      <w:r w:rsidR="003465A8" w:rsidRPr="00196561">
        <w:rPr>
          <w:rFonts w:asciiTheme="minorHAnsi" w:hAnsiTheme="minorHAnsi" w:cstheme="minorHAnsi"/>
        </w:rPr>
        <w:t xml:space="preserve"> </w:t>
      </w:r>
      <w:r w:rsidR="00CB3F1F" w:rsidRPr="00196561">
        <w:rPr>
          <w:rFonts w:asciiTheme="minorHAnsi" w:hAnsiTheme="minorHAnsi" w:cstheme="minorHAnsi"/>
        </w:rPr>
        <w:t xml:space="preserve">The years following periods of moist summer weather are </w:t>
      </w:r>
      <w:proofErr w:type="spellStart"/>
      <w:r w:rsidR="00CB3F1F" w:rsidRPr="00196561">
        <w:rPr>
          <w:rFonts w:asciiTheme="minorHAnsi" w:hAnsiTheme="minorHAnsi" w:cstheme="minorHAnsi"/>
        </w:rPr>
        <w:t>favourable</w:t>
      </w:r>
      <w:proofErr w:type="spellEnd"/>
      <w:r w:rsidR="00CB3F1F" w:rsidRPr="00196561">
        <w:rPr>
          <w:rFonts w:asciiTheme="minorHAnsi" w:hAnsiTheme="minorHAnsi" w:cstheme="minorHAnsi"/>
        </w:rPr>
        <w:t xml:space="preserve"> for infection. </w:t>
      </w:r>
      <w:r w:rsidR="003465A8" w:rsidRPr="00196561">
        <w:rPr>
          <w:rFonts w:asciiTheme="minorHAnsi" w:hAnsiTheme="minorHAnsi" w:cstheme="minorHAnsi"/>
        </w:rPr>
        <w:t xml:space="preserve"> </w:t>
      </w:r>
      <w:r w:rsidR="00CB3F1F" w:rsidRPr="00196561">
        <w:rPr>
          <w:rFonts w:asciiTheme="minorHAnsi" w:hAnsiTheme="minorHAnsi" w:cstheme="minorHAnsi"/>
        </w:rPr>
        <w:t>Growth reduction and mortality may result after repeated epidemics, particularly in young trees.</w:t>
      </w:r>
    </w:p>
    <w:p w:rsidR="00CB3F1F" w:rsidRPr="00196561" w:rsidRDefault="00CB3F1F" w:rsidP="00D76195">
      <w:pPr>
        <w:pStyle w:val="Default"/>
        <w:spacing w:after="0" w:line="240" w:lineRule="auto"/>
        <w:contextualSpacing/>
        <w:rPr>
          <w:rFonts w:asciiTheme="minorHAnsi" w:hAnsiTheme="minorHAnsi" w:cstheme="minorHAnsi"/>
        </w:rPr>
      </w:pPr>
    </w:p>
    <w:p w:rsidR="00295B1A" w:rsidRDefault="00CB3F1F" w:rsidP="00D76195">
      <w:pPr>
        <w:pStyle w:val="Default"/>
        <w:spacing w:after="0" w:line="240" w:lineRule="auto"/>
        <w:contextualSpacing/>
        <w:rPr>
          <w:rFonts w:asciiTheme="minorHAnsi" w:hAnsiTheme="minorHAnsi" w:cstheme="minorHAnsi"/>
        </w:rPr>
      </w:pPr>
      <w:proofErr w:type="spellStart"/>
      <w:r w:rsidRPr="00473042">
        <w:rPr>
          <w:rFonts w:asciiTheme="minorHAnsi" w:hAnsiTheme="minorHAnsi" w:cstheme="minorHAnsi"/>
          <w:b/>
          <w:i/>
        </w:rPr>
        <w:t>Elytroderma</w:t>
      </w:r>
      <w:proofErr w:type="spellEnd"/>
      <w:r w:rsidRPr="00196561">
        <w:rPr>
          <w:rFonts w:asciiTheme="minorHAnsi" w:hAnsiTheme="minorHAnsi" w:cstheme="minorHAnsi"/>
        </w:rPr>
        <w:t xml:space="preserve"> is a unique needle cast fungus because it can spread from needles to shoot tissue. </w:t>
      </w:r>
      <w:r w:rsidR="003465A8" w:rsidRPr="00196561">
        <w:rPr>
          <w:rFonts w:asciiTheme="minorHAnsi" w:hAnsiTheme="minorHAnsi" w:cstheme="minorHAnsi"/>
        </w:rPr>
        <w:t xml:space="preserve"> </w:t>
      </w:r>
      <w:r w:rsidRPr="00196561">
        <w:rPr>
          <w:rFonts w:asciiTheme="minorHAnsi" w:hAnsiTheme="minorHAnsi" w:cstheme="minorHAnsi"/>
        </w:rPr>
        <w:t xml:space="preserve">This results in broom formation and a perennial, systemic infection, allowing the fungus to survive periods of climate </w:t>
      </w:r>
      <w:proofErr w:type="spellStart"/>
      <w:r w:rsidRPr="00196561">
        <w:rPr>
          <w:rFonts w:asciiTheme="minorHAnsi" w:hAnsiTheme="minorHAnsi" w:cstheme="minorHAnsi"/>
        </w:rPr>
        <w:t>unfavourable</w:t>
      </w:r>
      <w:proofErr w:type="spellEnd"/>
      <w:r w:rsidRPr="00196561">
        <w:rPr>
          <w:rFonts w:asciiTheme="minorHAnsi" w:hAnsiTheme="minorHAnsi" w:cstheme="minorHAnsi"/>
        </w:rPr>
        <w:t xml:space="preserve"> for spore release.</w:t>
      </w:r>
      <w:r w:rsidR="003465A8" w:rsidRPr="00196561">
        <w:rPr>
          <w:rFonts w:asciiTheme="minorHAnsi" w:hAnsiTheme="minorHAnsi" w:cstheme="minorHAnsi"/>
        </w:rPr>
        <w:t xml:space="preserve">  Younger trees are affected to a greater extent than older trees.</w:t>
      </w:r>
    </w:p>
    <w:p w:rsidR="00196561" w:rsidRDefault="00196561" w:rsidP="00D76195">
      <w:pPr>
        <w:pStyle w:val="Default"/>
        <w:spacing w:after="0" w:line="240" w:lineRule="auto"/>
        <w:contextualSpacing/>
        <w:rPr>
          <w:rFonts w:asciiTheme="minorHAnsi" w:hAnsiTheme="minorHAnsi" w:cstheme="minorHAnsi"/>
        </w:rPr>
      </w:pPr>
    </w:p>
    <w:p w:rsidR="00196561" w:rsidRPr="00196561" w:rsidRDefault="00196561" w:rsidP="00492873">
      <w:pPr>
        <w:pStyle w:val="Default"/>
        <w:contextualSpacing/>
        <w:rPr>
          <w:rFonts w:asciiTheme="minorHAnsi" w:hAnsiTheme="minorHAnsi" w:cstheme="minorHAnsi"/>
          <w:b/>
        </w:rPr>
      </w:pPr>
      <w:r w:rsidRPr="00196561">
        <w:rPr>
          <w:rFonts w:asciiTheme="minorHAnsi" w:hAnsiTheme="minorHAnsi" w:cstheme="minorHAnsi"/>
          <w:b/>
        </w:rPr>
        <w:t xml:space="preserve">Affecting </w:t>
      </w:r>
      <w:r w:rsidR="00473042">
        <w:rPr>
          <w:rFonts w:asciiTheme="minorHAnsi" w:hAnsiTheme="minorHAnsi" w:cstheme="minorHAnsi"/>
          <w:b/>
        </w:rPr>
        <w:t>Spruce</w:t>
      </w:r>
    </w:p>
    <w:p w:rsidR="00196561" w:rsidRPr="00196561" w:rsidRDefault="00196561" w:rsidP="00D76195">
      <w:pPr>
        <w:pStyle w:val="Default"/>
        <w:spacing w:after="0" w:line="240" w:lineRule="auto"/>
        <w:contextualSpacing/>
        <w:rPr>
          <w:rFonts w:asciiTheme="minorHAnsi" w:hAnsiTheme="minorHAnsi" w:cstheme="minorHAnsi"/>
          <w:bCs/>
          <w:iCs/>
        </w:rPr>
      </w:pPr>
      <w:r w:rsidRPr="00196561">
        <w:rPr>
          <w:rFonts w:asciiTheme="minorHAnsi" w:hAnsiTheme="minorHAnsi" w:cstheme="minorHAnsi"/>
          <w:noProof/>
          <w:lang w:val="en-CA" w:eastAsia="en-CA" w:bidi="ar-SA"/>
        </w:rPr>
        <w:drawing>
          <wp:anchor distT="0" distB="0" distL="114300" distR="114300" simplePos="0" relativeHeight="251659264" behindDoc="0" locked="0" layoutInCell="1" allowOverlap="1" wp14:anchorId="66E56881" wp14:editId="09E7101B">
            <wp:simplePos x="0" y="0"/>
            <wp:positionH relativeFrom="column">
              <wp:posOffset>-635</wp:posOffset>
            </wp:positionH>
            <wp:positionV relativeFrom="paragraph">
              <wp:posOffset>20955</wp:posOffset>
            </wp:positionV>
            <wp:extent cx="1634490" cy="1304290"/>
            <wp:effectExtent l="0" t="0" r="3810" b="0"/>
            <wp:wrapSquare wrapText="bothSides"/>
            <wp:docPr id="5" name="Picture 5" descr="https://www.for.gov.bc.ca/hfp/publications/00198/151%20to%20200/fig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or.gov.bc.ca/hfp/publications/00198/151%20to%20200/fig19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4490" cy="130429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196561">
        <w:rPr>
          <w:rFonts w:asciiTheme="minorHAnsi" w:hAnsiTheme="minorHAnsi" w:cstheme="minorHAnsi"/>
          <w:b/>
          <w:i/>
        </w:rPr>
        <w:t>Lirula</w:t>
      </w:r>
      <w:proofErr w:type="spellEnd"/>
      <w:r w:rsidRPr="00196561">
        <w:rPr>
          <w:rFonts w:asciiTheme="minorHAnsi" w:hAnsiTheme="minorHAnsi" w:cstheme="minorHAnsi"/>
        </w:rPr>
        <w:t xml:space="preserve"> has a two-year life cycle. Infected needles become straw or brown-</w:t>
      </w:r>
      <w:proofErr w:type="spellStart"/>
      <w:r w:rsidRPr="00196561">
        <w:rPr>
          <w:rFonts w:asciiTheme="minorHAnsi" w:hAnsiTheme="minorHAnsi" w:cstheme="minorHAnsi"/>
        </w:rPr>
        <w:t>coloured</w:t>
      </w:r>
      <w:proofErr w:type="spellEnd"/>
      <w:r w:rsidRPr="00196561">
        <w:rPr>
          <w:rFonts w:asciiTheme="minorHAnsi" w:hAnsiTheme="minorHAnsi" w:cstheme="minorHAnsi"/>
        </w:rPr>
        <w:t xml:space="preserve"> and die.  Elongated, black fruiting bodies are found on dead needles. Spruce needle cast becomes infectious to spruce every second year; therefore, tree foliage may have every second year's growth affected. Infections are more common in the lower crown. Successive years of severe infection may cause growth reduction; however, this is uncommon.  Usually, there is only localized damage. Mortality seldom occurs.</w:t>
      </w:r>
    </w:p>
    <w:p w:rsidR="00CB3F1F" w:rsidRPr="00196561" w:rsidRDefault="00CB3F1F" w:rsidP="00492873">
      <w:pPr>
        <w:pStyle w:val="Default"/>
        <w:contextualSpacing/>
        <w:rPr>
          <w:rFonts w:asciiTheme="minorHAnsi" w:hAnsiTheme="minorHAnsi" w:cstheme="minorHAnsi"/>
          <w:bCs/>
          <w:iCs/>
        </w:rPr>
      </w:pPr>
    </w:p>
    <w:p w:rsidR="00CB3F1F" w:rsidRPr="00196561" w:rsidRDefault="00473042" w:rsidP="00492873">
      <w:pPr>
        <w:pStyle w:val="Default"/>
        <w:contextualSpacing/>
        <w:rPr>
          <w:rFonts w:asciiTheme="minorHAnsi" w:hAnsiTheme="minorHAnsi" w:cstheme="minorHAnsi"/>
          <w:b/>
        </w:rPr>
      </w:pPr>
      <w:r w:rsidRPr="00473042">
        <w:rPr>
          <w:rFonts w:asciiTheme="minorHAnsi" w:hAnsiTheme="minorHAnsi"/>
          <w:b/>
          <w:i/>
          <w:noProof/>
          <w:lang w:val="en-CA" w:eastAsia="en-CA" w:bidi="ar-SA"/>
        </w:rPr>
        <w:drawing>
          <wp:anchor distT="0" distB="0" distL="114300" distR="114300" simplePos="0" relativeHeight="251660288" behindDoc="0" locked="0" layoutInCell="1" allowOverlap="1" wp14:anchorId="7BA20139" wp14:editId="1115E24B">
            <wp:simplePos x="0" y="0"/>
            <wp:positionH relativeFrom="column">
              <wp:posOffset>0</wp:posOffset>
            </wp:positionH>
            <wp:positionV relativeFrom="paragraph">
              <wp:posOffset>214630</wp:posOffset>
            </wp:positionV>
            <wp:extent cx="1738630" cy="1280160"/>
            <wp:effectExtent l="0" t="0" r="0" b="0"/>
            <wp:wrapSquare wrapText="bothSides"/>
            <wp:docPr id="6" name="Picture 6" descr="https://www.for.gov.bc.ca/hfp/publications/00198/201%20to%20250/fig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r.gov.bc.ca/hfp/publications/00198/201%20to%20250/fig21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8630"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196561" w:rsidRPr="00196561">
        <w:rPr>
          <w:rFonts w:asciiTheme="minorHAnsi" w:hAnsiTheme="minorHAnsi" w:cstheme="minorHAnsi"/>
          <w:b/>
        </w:rPr>
        <w:t>Affecting True Firs</w:t>
      </w:r>
    </w:p>
    <w:p w:rsidR="00D76195" w:rsidRPr="00473042" w:rsidRDefault="00D76195" w:rsidP="00D76195">
      <w:pPr>
        <w:pStyle w:val="Default"/>
        <w:spacing w:after="0" w:line="240" w:lineRule="auto"/>
        <w:contextualSpacing/>
        <w:rPr>
          <w:rFonts w:asciiTheme="minorHAnsi" w:hAnsiTheme="minorHAnsi"/>
        </w:rPr>
      </w:pPr>
      <w:proofErr w:type="spellStart"/>
      <w:r w:rsidRPr="00473042">
        <w:rPr>
          <w:rFonts w:asciiTheme="minorHAnsi" w:hAnsiTheme="minorHAnsi"/>
          <w:b/>
          <w:i/>
        </w:rPr>
        <w:t>Pucciniastrum</w:t>
      </w:r>
      <w:proofErr w:type="spellEnd"/>
      <w:r w:rsidRPr="00473042">
        <w:rPr>
          <w:rFonts w:asciiTheme="minorHAnsi" w:hAnsiTheme="minorHAnsi"/>
        </w:rPr>
        <w:t xml:space="preserve"> affects </w:t>
      </w:r>
      <w:proofErr w:type="spellStart"/>
      <w:r w:rsidRPr="00473042">
        <w:rPr>
          <w:rFonts w:asciiTheme="minorHAnsi" w:hAnsiTheme="minorHAnsi"/>
        </w:rPr>
        <w:t>Amabilis</w:t>
      </w:r>
      <w:proofErr w:type="spellEnd"/>
      <w:r w:rsidRPr="00473042">
        <w:rPr>
          <w:rFonts w:asciiTheme="minorHAnsi" w:hAnsiTheme="minorHAnsi"/>
        </w:rPr>
        <w:t xml:space="preserve"> fir, white fir, and sub-alpine fir of all ages, though it is most serious in young stands.  Fireweed is an </w:t>
      </w:r>
      <w:r w:rsidRPr="00473042">
        <w:rPr>
          <w:rFonts w:asciiTheme="minorHAnsi" w:hAnsiTheme="minorHAnsi"/>
        </w:rPr>
        <w:lastRenderedPageBreak/>
        <w:t xml:space="preserve">alternate host.  Small blisters filled with white or yellow spores develop on the lower side of current-year needles in late spring to early summer. The infected needles become chlorotic or </w:t>
      </w:r>
      <w:proofErr w:type="spellStart"/>
      <w:r w:rsidRPr="00473042">
        <w:rPr>
          <w:rFonts w:asciiTheme="minorHAnsi" w:hAnsiTheme="minorHAnsi"/>
        </w:rPr>
        <w:t>discoloured</w:t>
      </w:r>
      <w:proofErr w:type="spellEnd"/>
      <w:r w:rsidRPr="00473042">
        <w:rPr>
          <w:rFonts w:asciiTheme="minorHAnsi" w:hAnsiTheme="minorHAnsi"/>
        </w:rPr>
        <w:t xml:space="preserve"> and may be shed prematurely. Severe infection can almost completely defoliate current-year needles.  Growth reduction may result.  Mortality has occurred in young stands growing in recently logged areas where fireweed is abundant.</w:t>
      </w:r>
    </w:p>
    <w:p w:rsidR="00CB3F1F" w:rsidRPr="00473042" w:rsidRDefault="00CB3F1F" w:rsidP="00D76195">
      <w:pPr>
        <w:pStyle w:val="Default"/>
        <w:spacing w:after="0" w:line="240" w:lineRule="auto"/>
        <w:contextualSpacing/>
        <w:rPr>
          <w:rFonts w:asciiTheme="minorHAnsi" w:hAnsiTheme="minorHAnsi"/>
        </w:rPr>
      </w:pPr>
    </w:p>
    <w:p w:rsidR="00D76195" w:rsidRPr="00473042" w:rsidRDefault="00D76195" w:rsidP="00D76195">
      <w:pPr>
        <w:pStyle w:val="Default"/>
        <w:spacing w:after="0" w:line="240" w:lineRule="auto"/>
        <w:contextualSpacing/>
        <w:rPr>
          <w:rFonts w:asciiTheme="minorHAnsi" w:hAnsiTheme="minorHAnsi"/>
        </w:rPr>
      </w:pPr>
      <w:proofErr w:type="spellStart"/>
      <w:r w:rsidRPr="00473042">
        <w:rPr>
          <w:rFonts w:asciiTheme="minorHAnsi" w:hAnsiTheme="minorHAnsi"/>
          <w:b/>
          <w:i/>
        </w:rPr>
        <w:t>Delphinella</w:t>
      </w:r>
      <w:proofErr w:type="spellEnd"/>
      <w:r w:rsidRPr="00473042">
        <w:rPr>
          <w:rFonts w:asciiTheme="minorHAnsi" w:hAnsiTheme="minorHAnsi"/>
        </w:rPr>
        <w:t xml:space="preserve"> affects sub-alpine fire.  Needles and shoots are affected causing the shoots to wilt and shrivel.  Dead needles and shoots remain attached for one to several years, and turn red or brown the first year, and grey or black the second year.  Severe infection can halt branch and terminal growth for a year, and chronic infection can stunt tree growth.</w:t>
      </w:r>
    </w:p>
    <w:p w:rsidR="00D76195" w:rsidRPr="00473042" w:rsidRDefault="00D76195" w:rsidP="00D76195">
      <w:pPr>
        <w:pStyle w:val="Default"/>
        <w:spacing w:after="0" w:line="240" w:lineRule="auto"/>
        <w:contextualSpacing/>
        <w:rPr>
          <w:rFonts w:asciiTheme="minorHAnsi" w:hAnsiTheme="minorHAnsi"/>
        </w:rPr>
      </w:pPr>
    </w:p>
    <w:p w:rsidR="00CB3F1F" w:rsidRPr="0077663A" w:rsidRDefault="0077663A" w:rsidP="00492873">
      <w:pPr>
        <w:pStyle w:val="Default"/>
        <w:contextualSpacing/>
        <w:rPr>
          <w:rFonts w:ascii="Cambria" w:hAnsi="Cambria" w:cs="Cambria"/>
          <w:b/>
          <w:bCs/>
          <w:iCs/>
        </w:rPr>
      </w:pPr>
      <w:r w:rsidRPr="0077663A">
        <w:rPr>
          <w:rFonts w:ascii="Cambria" w:hAnsi="Cambria" w:cs="Cambria"/>
          <w:b/>
          <w:bCs/>
          <w:iCs/>
        </w:rPr>
        <w:t xml:space="preserve">Affecting Western </w:t>
      </w:r>
      <w:proofErr w:type="spellStart"/>
      <w:r w:rsidRPr="0077663A">
        <w:rPr>
          <w:rFonts w:ascii="Cambria" w:hAnsi="Cambria" w:cs="Cambria"/>
          <w:b/>
          <w:bCs/>
          <w:iCs/>
        </w:rPr>
        <w:t>Redcedar</w:t>
      </w:r>
      <w:proofErr w:type="spellEnd"/>
    </w:p>
    <w:p w:rsidR="0077663A" w:rsidRPr="0077663A" w:rsidRDefault="00715935" w:rsidP="0077663A">
      <w:pPr>
        <w:pStyle w:val="Default"/>
        <w:spacing w:after="0" w:line="240" w:lineRule="auto"/>
        <w:contextualSpacing/>
        <w:rPr>
          <w:rFonts w:asciiTheme="minorHAnsi" w:hAnsiTheme="minorHAnsi" w:cstheme="minorHAnsi"/>
          <w:bCs/>
          <w:iCs/>
        </w:rPr>
      </w:pPr>
      <w:r>
        <w:rPr>
          <w:noProof/>
          <w:lang w:val="en-CA" w:eastAsia="en-CA" w:bidi="ar-SA"/>
        </w:rPr>
        <w:drawing>
          <wp:anchor distT="0" distB="0" distL="114300" distR="114300" simplePos="0" relativeHeight="251661312" behindDoc="0" locked="0" layoutInCell="1" allowOverlap="1" wp14:anchorId="3A0B70AF" wp14:editId="63EEBC85">
            <wp:simplePos x="0" y="0"/>
            <wp:positionH relativeFrom="column">
              <wp:posOffset>0</wp:posOffset>
            </wp:positionH>
            <wp:positionV relativeFrom="paragraph">
              <wp:posOffset>6350</wp:posOffset>
            </wp:positionV>
            <wp:extent cx="1129030" cy="1131570"/>
            <wp:effectExtent l="0" t="0" r="0" b="0"/>
            <wp:wrapSquare wrapText="bothSides"/>
            <wp:docPr id="7" name="Picture 7" descr="https://www.for.gov.bc.ca/hfp/publications/00198/151%20to%20200/fig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or.gov.bc.ca/hfp/publications/00198/151%20to%20200/fig19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9030" cy="1131570"/>
                    </a:xfrm>
                    <a:prstGeom prst="rect">
                      <a:avLst/>
                    </a:prstGeom>
                    <a:noFill/>
                    <a:ln>
                      <a:noFill/>
                    </a:ln>
                  </pic:spPr>
                </pic:pic>
              </a:graphicData>
            </a:graphic>
            <wp14:sizeRelH relativeFrom="page">
              <wp14:pctWidth>0</wp14:pctWidth>
            </wp14:sizeRelH>
            <wp14:sizeRelV relativeFrom="page">
              <wp14:pctHeight>0</wp14:pctHeight>
            </wp14:sizeRelV>
          </wp:anchor>
        </w:drawing>
      </w:r>
      <w:r w:rsidR="0077663A" w:rsidRPr="0077663A">
        <w:rPr>
          <w:rFonts w:asciiTheme="minorHAnsi" w:hAnsiTheme="minorHAnsi" w:cstheme="minorHAnsi"/>
          <w:b/>
        </w:rPr>
        <w:t>Cedar leaf blight</w:t>
      </w:r>
      <w:r w:rsidR="0077663A">
        <w:rPr>
          <w:rFonts w:asciiTheme="minorHAnsi" w:hAnsiTheme="minorHAnsi" w:cstheme="minorHAnsi"/>
        </w:rPr>
        <w:t xml:space="preserve"> causes i</w:t>
      </w:r>
      <w:r w:rsidR="0077663A" w:rsidRPr="0077663A">
        <w:rPr>
          <w:rFonts w:asciiTheme="minorHAnsi" w:hAnsiTheme="minorHAnsi" w:cstheme="minorHAnsi"/>
        </w:rPr>
        <w:t xml:space="preserve">nfected leaves </w:t>
      </w:r>
      <w:r w:rsidR="0077663A">
        <w:rPr>
          <w:rFonts w:asciiTheme="minorHAnsi" w:hAnsiTheme="minorHAnsi" w:cstheme="minorHAnsi"/>
        </w:rPr>
        <w:t xml:space="preserve">to </w:t>
      </w:r>
      <w:r w:rsidR="0077663A" w:rsidRPr="0077663A">
        <w:rPr>
          <w:rFonts w:asciiTheme="minorHAnsi" w:hAnsiTheme="minorHAnsi" w:cstheme="minorHAnsi"/>
        </w:rPr>
        <w:t>turn reddish-brown over the summer.  Dense stands growing on wetter sites are most affected.  Overall losses from this disease are low, although seedlings and saplings may suffer mortality.  High densities and high humidity in forest nurseries are ideal for this disease, where it can be a serious problem.</w:t>
      </w:r>
    </w:p>
    <w:p w:rsidR="00CB3F1F" w:rsidRPr="0077663A" w:rsidRDefault="00CB3F1F" w:rsidP="0077663A">
      <w:pPr>
        <w:pStyle w:val="Default"/>
        <w:spacing w:after="0" w:line="240" w:lineRule="auto"/>
        <w:contextualSpacing/>
        <w:rPr>
          <w:rFonts w:asciiTheme="minorHAnsi" w:hAnsiTheme="minorHAnsi" w:cstheme="minorHAnsi"/>
          <w:bCs/>
          <w:iCs/>
        </w:rPr>
      </w:pPr>
    </w:p>
    <w:p w:rsidR="00715935" w:rsidRDefault="00715935" w:rsidP="00473042">
      <w:pPr>
        <w:pStyle w:val="Default"/>
        <w:spacing w:after="0" w:line="240" w:lineRule="auto"/>
        <w:contextualSpacing/>
        <w:rPr>
          <w:rFonts w:ascii="Cambria" w:hAnsi="Cambria" w:cs="Cambria"/>
          <w:b/>
          <w:bCs/>
          <w:iCs/>
        </w:rPr>
      </w:pPr>
    </w:p>
    <w:p w:rsidR="00704BC4" w:rsidRPr="00704BC4" w:rsidRDefault="00704BC4" w:rsidP="00473042">
      <w:pPr>
        <w:pStyle w:val="Default"/>
        <w:spacing w:after="0" w:line="240" w:lineRule="auto"/>
        <w:contextualSpacing/>
        <w:rPr>
          <w:rFonts w:ascii="Cambria" w:hAnsi="Cambria" w:cs="Cambria"/>
          <w:b/>
          <w:bCs/>
          <w:iCs/>
        </w:rPr>
      </w:pPr>
      <w:r w:rsidRPr="00704BC4">
        <w:rPr>
          <w:rFonts w:ascii="Cambria" w:hAnsi="Cambria" w:cs="Cambria"/>
          <w:b/>
          <w:bCs/>
          <w:iCs/>
        </w:rPr>
        <w:t>Extent</w:t>
      </w:r>
    </w:p>
    <w:p w:rsidR="00473042" w:rsidRDefault="00704BC4" w:rsidP="00473042">
      <w:pPr>
        <w:pStyle w:val="Default"/>
        <w:spacing w:after="0" w:line="240" w:lineRule="auto"/>
        <w:jc w:val="both"/>
        <w:rPr>
          <w:rFonts w:asciiTheme="minorHAnsi" w:hAnsiTheme="minorHAnsi"/>
        </w:rPr>
      </w:pPr>
      <w:r w:rsidRPr="00983B9E">
        <w:rPr>
          <w:rFonts w:asciiTheme="minorHAnsi" w:hAnsiTheme="minorHAnsi"/>
        </w:rPr>
        <w:t xml:space="preserve">While foliar diseases other than </w:t>
      </w:r>
      <w:proofErr w:type="spellStart"/>
      <w:r w:rsidRPr="0077663A">
        <w:rPr>
          <w:rFonts w:asciiTheme="minorHAnsi" w:hAnsiTheme="minorHAnsi"/>
          <w:b/>
          <w:i/>
        </w:rPr>
        <w:t>Dothistroma</w:t>
      </w:r>
      <w:proofErr w:type="spellEnd"/>
      <w:r w:rsidRPr="00983B9E">
        <w:rPr>
          <w:rFonts w:asciiTheme="minorHAnsi" w:hAnsiTheme="minorHAnsi"/>
        </w:rPr>
        <w:t xml:space="preserve"> needle blight are currently considered low priority forest health factors, the progression of </w:t>
      </w:r>
      <w:proofErr w:type="spellStart"/>
      <w:r w:rsidRPr="0077663A">
        <w:rPr>
          <w:rFonts w:asciiTheme="minorHAnsi" w:hAnsiTheme="minorHAnsi"/>
          <w:b/>
          <w:i/>
        </w:rPr>
        <w:t>Dothistroma</w:t>
      </w:r>
      <w:proofErr w:type="spellEnd"/>
      <w:r w:rsidRPr="00983B9E">
        <w:rPr>
          <w:rFonts w:asciiTheme="minorHAnsi" w:hAnsiTheme="minorHAnsi"/>
        </w:rPr>
        <w:t xml:space="preserve"> in the </w:t>
      </w:r>
      <w:proofErr w:type="spellStart"/>
      <w:r w:rsidRPr="00983B9E">
        <w:rPr>
          <w:rFonts w:asciiTheme="minorHAnsi" w:hAnsiTheme="minorHAnsi"/>
        </w:rPr>
        <w:t>Kispiox</w:t>
      </w:r>
      <w:proofErr w:type="spellEnd"/>
      <w:r w:rsidRPr="00983B9E">
        <w:rPr>
          <w:rFonts w:asciiTheme="minorHAnsi" w:hAnsiTheme="minorHAnsi"/>
        </w:rPr>
        <w:t xml:space="preserve"> TSA should be seen as a warning of the potential risk that foliar diseases may pose.  This risk may intensify given current predictions of climate change.  </w:t>
      </w:r>
      <w:r>
        <w:rPr>
          <w:rFonts w:asciiTheme="minorHAnsi" w:hAnsiTheme="minorHAnsi"/>
        </w:rPr>
        <w:t>Currently, t</w:t>
      </w:r>
      <w:r w:rsidRPr="00983B9E">
        <w:rPr>
          <w:rFonts w:asciiTheme="minorHAnsi" w:hAnsiTheme="minorHAnsi"/>
        </w:rPr>
        <w:t>he losses resulting from these defoliators are</w:t>
      </w:r>
      <w:r>
        <w:rPr>
          <w:rFonts w:asciiTheme="minorHAnsi" w:hAnsiTheme="minorHAnsi"/>
        </w:rPr>
        <w:t xml:space="preserve"> minimal</w:t>
      </w:r>
      <w:r w:rsidRPr="00983B9E">
        <w:rPr>
          <w:rFonts w:asciiTheme="minorHAnsi" w:hAnsiTheme="minorHAnsi"/>
        </w:rPr>
        <w:t>.</w:t>
      </w:r>
    </w:p>
    <w:p w:rsidR="003A7C6A" w:rsidRDefault="003A7C6A" w:rsidP="00473042">
      <w:pPr>
        <w:pStyle w:val="Default"/>
        <w:spacing w:after="0" w:line="240" w:lineRule="auto"/>
        <w:jc w:val="both"/>
        <w:rPr>
          <w:rFonts w:ascii="Cambria" w:hAnsi="Cambria" w:cs="Cambria"/>
          <w:b/>
          <w:bCs/>
          <w:iCs/>
        </w:rPr>
      </w:pPr>
    </w:p>
    <w:p w:rsidR="00704BC4" w:rsidRPr="00704BC4" w:rsidRDefault="00704BC4" w:rsidP="00473042">
      <w:pPr>
        <w:pStyle w:val="Default"/>
        <w:spacing w:after="0" w:line="240" w:lineRule="auto"/>
        <w:jc w:val="both"/>
        <w:rPr>
          <w:rFonts w:ascii="Cambria" w:hAnsi="Cambria" w:cs="Cambria"/>
          <w:b/>
          <w:bCs/>
          <w:iCs/>
        </w:rPr>
      </w:pPr>
      <w:bookmarkStart w:id="1" w:name="_GoBack"/>
      <w:bookmarkEnd w:id="1"/>
      <w:r w:rsidRPr="00704BC4">
        <w:rPr>
          <w:rFonts w:ascii="Cambria" w:hAnsi="Cambria" w:cs="Cambria"/>
          <w:b/>
          <w:bCs/>
          <w:iCs/>
        </w:rPr>
        <w:t>Data</w:t>
      </w:r>
    </w:p>
    <w:p w:rsidR="00704BC4" w:rsidRDefault="00704BC4" w:rsidP="00473042">
      <w:pPr>
        <w:pStyle w:val="Default"/>
        <w:spacing w:after="0" w:line="240" w:lineRule="auto"/>
        <w:contextualSpacing/>
        <w:rPr>
          <w:rFonts w:ascii="Cambria" w:hAnsi="Cambria" w:cs="Cambria"/>
          <w:bCs/>
          <w:iCs/>
        </w:rPr>
      </w:pPr>
    </w:p>
    <w:p w:rsidR="00704BC4" w:rsidRPr="00704BC4" w:rsidRDefault="00704BC4" w:rsidP="00473042">
      <w:pPr>
        <w:pStyle w:val="Default"/>
        <w:spacing w:after="0" w:line="240" w:lineRule="auto"/>
        <w:contextualSpacing/>
        <w:rPr>
          <w:rFonts w:ascii="Cambria" w:hAnsi="Cambria" w:cs="Cambria"/>
          <w:b/>
          <w:bCs/>
          <w:iCs/>
        </w:rPr>
      </w:pPr>
      <w:r w:rsidRPr="00704BC4">
        <w:rPr>
          <w:rFonts w:ascii="Cambria" w:hAnsi="Cambria" w:cs="Cambria"/>
          <w:b/>
          <w:bCs/>
          <w:iCs/>
        </w:rPr>
        <w:t>Tactics</w:t>
      </w:r>
    </w:p>
    <w:p w:rsidR="00704BC4" w:rsidRDefault="00704BC4" w:rsidP="00473042">
      <w:pPr>
        <w:pStyle w:val="Default"/>
        <w:numPr>
          <w:ilvl w:val="0"/>
          <w:numId w:val="2"/>
        </w:numPr>
        <w:spacing w:after="0" w:line="240" w:lineRule="auto"/>
        <w:jc w:val="both"/>
      </w:pPr>
      <w:r>
        <w:t xml:space="preserve">Incidence levels should continue to be monitored and their priority reassessed at the annual review stage.  </w:t>
      </w:r>
    </w:p>
    <w:p w:rsidR="00704BC4" w:rsidRDefault="00704BC4" w:rsidP="00473042">
      <w:pPr>
        <w:pStyle w:val="Default"/>
        <w:numPr>
          <w:ilvl w:val="0"/>
          <w:numId w:val="2"/>
        </w:numPr>
        <w:spacing w:after="0" w:line="240" w:lineRule="auto"/>
        <w:jc w:val="both"/>
      </w:pPr>
      <w:r>
        <w:t>Species diversity should also be maintained to ameliorate the risk posed by single species stands.</w:t>
      </w:r>
    </w:p>
    <w:p w:rsidR="00704BC4" w:rsidRDefault="00704BC4" w:rsidP="00473042">
      <w:pPr>
        <w:pStyle w:val="Default"/>
        <w:spacing w:after="0" w:line="240" w:lineRule="auto"/>
        <w:jc w:val="both"/>
      </w:pPr>
    </w:p>
    <w:p w:rsidR="00704BC4" w:rsidRDefault="00704BC4" w:rsidP="00473042">
      <w:pPr>
        <w:pStyle w:val="Default"/>
        <w:spacing w:after="0" w:line="240" w:lineRule="auto"/>
        <w:jc w:val="both"/>
      </w:pPr>
    </w:p>
    <w:sectPr w:rsidR="00704B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E12A4"/>
    <w:multiLevelType w:val="hybridMultilevel"/>
    <w:tmpl w:val="8AAC4A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524F58CC"/>
    <w:multiLevelType w:val="hybridMultilevel"/>
    <w:tmpl w:val="F84074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873"/>
    <w:rsid w:val="00196561"/>
    <w:rsid w:val="00202D3A"/>
    <w:rsid w:val="00295B1A"/>
    <w:rsid w:val="003465A8"/>
    <w:rsid w:val="003A3F14"/>
    <w:rsid w:val="003A7C6A"/>
    <w:rsid w:val="00473042"/>
    <w:rsid w:val="00492873"/>
    <w:rsid w:val="00660C53"/>
    <w:rsid w:val="00670EAE"/>
    <w:rsid w:val="00704BC4"/>
    <w:rsid w:val="00715935"/>
    <w:rsid w:val="0077663A"/>
    <w:rsid w:val="00BC1E2A"/>
    <w:rsid w:val="00BE275B"/>
    <w:rsid w:val="00CB3F1F"/>
    <w:rsid w:val="00D76195"/>
    <w:rsid w:val="00E97A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73"/>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492873"/>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492873"/>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492873"/>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492873"/>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492873"/>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492873"/>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492873"/>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492873"/>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492873"/>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873"/>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492873"/>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492873"/>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492873"/>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492873"/>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492873"/>
    <w:rPr>
      <w:rFonts w:eastAsiaTheme="minorEastAsia" w:cstheme="majorBidi"/>
      <w:b/>
      <w:bCs/>
      <w:lang w:val="en-US" w:bidi="en-US"/>
    </w:rPr>
  </w:style>
  <w:style w:type="character" w:customStyle="1" w:styleId="Heading7Char">
    <w:name w:val="Heading 7 Char"/>
    <w:basedOn w:val="DefaultParagraphFont"/>
    <w:link w:val="Heading7"/>
    <w:uiPriority w:val="9"/>
    <w:rsid w:val="00492873"/>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492873"/>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492873"/>
    <w:rPr>
      <w:rFonts w:asciiTheme="majorHAnsi" w:eastAsiaTheme="majorEastAsia" w:hAnsiTheme="majorHAnsi" w:cstheme="majorBidi"/>
      <w:lang w:val="en-US" w:bidi="en-US"/>
    </w:rPr>
  </w:style>
  <w:style w:type="paragraph" w:customStyle="1" w:styleId="Default">
    <w:name w:val="Default"/>
    <w:rsid w:val="00492873"/>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295B1A"/>
    <w:rPr>
      <w:rFonts w:ascii="Tahoma" w:hAnsi="Tahoma" w:cs="Tahoma"/>
      <w:sz w:val="16"/>
      <w:szCs w:val="16"/>
    </w:rPr>
  </w:style>
  <w:style w:type="character" w:customStyle="1" w:styleId="BalloonTextChar">
    <w:name w:val="Balloon Text Char"/>
    <w:basedOn w:val="DefaultParagraphFont"/>
    <w:link w:val="BalloonText"/>
    <w:uiPriority w:val="99"/>
    <w:semiHidden/>
    <w:rsid w:val="00295B1A"/>
    <w:rPr>
      <w:rFonts w:ascii="Tahoma" w:eastAsiaTheme="minorEastAsia" w:hAnsi="Tahoma" w:cs="Tahoma"/>
      <w:sz w:val="16"/>
      <w:szCs w:val="16"/>
      <w:lang w:val="en-US" w:bidi="en-US"/>
    </w:rPr>
  </w:style>
  <w:style w:type="table" w:styleId="TableGrid">
    <w:name w:val="Table Grid"/>
    <w:basedOn w:val="TableNormal"/>
    <w:uiPriority w:val="59"/>
    <w:rsid w:val="00BC1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73"/>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492873"/>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492873"/>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492873"/>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492873"/>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492873"/>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492873"/>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492873"/>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492873"/>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492873"/>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873"/>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492873"/>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492873"/>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492873"/>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492873"/>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492873"/>
    <w:rPr>
      <w:rFonts w:eastAsiaTheme="minorEastAsia" w:cstheme="majorBidi"/>
      <w:b/>
      <w:bCs/>
      <w:lang w:val="en-US" w:bidi="en-US"/>
    </w:rPr>
  </w:style>
  <w:style w:type="character" w:customStyle="1" w:styleId="Heading7Char">
    <w:name w:val="Heading 7 Char"/>
    <w:basedOn w:val="DefaultParagraphFont"/>
    <w:link w:val="Heading7"/>
    <w:uiPriority w:val="9"/>
    <w:rsid w:val="00492873"/>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492873"/>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492873"/>
    <w:rPr>
      <w:rFonts w:asciiTheme="majorHAnsi" w:eastAsiaTheme="majorEastAsia" w:hAnsiTheme="majorHAnsi" w:cstheme="majorBidi"/>
      <w:lang w:val="en-US" w:bidi="en-US"/>
    </w:rPr>
  </w:style>
  <w:style w:type="paragraph" w:customStyle="1" w:styleId="Default">
    <w:name w:val="Default"/>
    <w:rsid w:val="00492873"/>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295B1A"/>
    <w:rPr>
      <w:rFonts w:ascii="Tahoma" w:hAnsi="Tahoma" w:cs="Tahoma"/>
      <w:sz w:val="16"/>
      <w:szCs w:val="16"/>
    </w:rPr>
  </w:style>
  <w:style w:type="character" w:customStyle="1" w:styleId="BalloonTextChar">
    <w:name w:val="Balloon Text Char"/>
    <w:basedOn w:val="DefaultParagraphFont"/>
    <w:link w:val="BalloonText"/>
    <w:uiPriority w:val="99"/>
    <w:semiHidden/>
    <w:rsid w:val="00295B1A"/>
    <w:rPr>
      <w:rFonts w:ascii="Tahoma" w:eastAsiaTheme="minorEastAsia" w:hAnsi="Tahoma" w:cs="Tahoma"/>
      <w:sz w:val="16"/>
      <w:szCs w:val="16"/>
      <w:lang w:val="en-US" w:bidi="en-US"/>
    </w:rPr>
  </w:style>
  <w:style w:type="table" w:styleId="TableGrid">
    <w:name w:val="Table Grid"/>
    <w:basedOn w:val="TableNormal"/>
    <w:uiPriority w:val="59"/>
    <w:rsid w:val="00BC1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Plummer, Jennifer FLNR:EX</cp:lastModifiedBy>
  <cp:revision>6</cp:revision>
  <dcterms:created xsi:type="dcterms:W3CDTF">2015-04-22T20:31:00Z</dcterms:created>
  <dcterms:modified xsi:type="dcterms:W3CDTF">2015-04-30T16:14:00Z</dcterms:modified>
</cp:coreProperties>
</file>